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330BA" w14:textId="77777777" w:rsidR="00C35B70" w:rsidRPr="0063323C" w:rsidRDefault="00C35B70" w:rsidP="00A735F4">
      <w:pPr>
        <w:spacing w:before="100" w:beforeAutospacing="1" w:after="100" w:afterAutospacing="1" w:line="240" w:lineRule="auto"/>
        <w:jc w:val="center"/>
        <w:rPr>
          <w:rFonts w:eastAsia="Times New Roman" w:cs="Times New Roman"/>
          <w:sz w:val="32"/>
          <w:szCs w:val="32"/>
          <w:lang w:eastAsia="en-GB"/>
        </w:rPr>
      </w:pPr>
      <w:bookmarkStart w:id="0" w:name="_GoBack"/>
      <w:bookmarkEnd w:id="0"/>
      <w:r w:rsidRPr="0063323C">
        <w:rPr>
          <w:rFonts w:eastAsia="Times New Roman" w:cs="Arial"/>
          <w:b/>
          <w:bCs/>
          <w:sz w:val="32"/>
          <w:szCs w:val="32"/>
          <w:lang w:eastAsia="en-GB"/>
        </w:rPr>
        <w:t>Recommendations on the 11 sites under consideration for potential future housing development in Sonning Common</w:t>
      </w:r>
    </w:p>
    <w:tbl>
      <w:tblPr>
        <w:tblStyle w:val="TableGrid"/>
        <w:tblW w:w="0" w:type="auto"/>
        <w:tblLook w:val="04A0" w:firstRow="1" w:lastRow="0" w:firstColumn="1" w:lastColumn="0" w:noHBand="0" w:noVBand="1"/>
      </w:tblPr>
      <w:tblGrid>
        <w:gridCol w:w="2177"/>
        <w:gridCol w:w="2349"/>
        <w:gridCol w:w="2343"/>
        <w:gridCol w:w="2567"/>
      </w:tblGrid>
      <w:tr w:rsidR="00B81D0D" w:rsidRPr="001622ED" w14:paraId="2338965F" w14:textId="77777777" w:rsidTr="00F136F8">
        <w:tc>
          <w:tcPr>
            <w:tcW w:w="2246" w:type="dxa"/>
          </w:tcPr>
          <w:p w14:paraId="70414D86" w14:textId="77777777" w:rsidR="00B81D0D" w:rsidRPr="00856AF4" w:rsidRDefault="00B81D0D" w:rsidP="007A3AC6">
            <w:pPr>
              <w:jc w:val="center"/>
              <w:rPr>
                <w:rFonts w:eastAsia="Times New Roman" w:cs="Times New Roman"/>
                <w:b/>
                <w:sz w:val="24"/>
                <w:szCs w:val="24"/>
                <w:lang w:eastAsia="en-GB"/>
              </w:rPr>
            </w:pPr>
            <w:r w:rsidRPr="00856AF4">
              <w:rPr>
                <w:rFonts w:eastAsia="Times New Roman" w:cs="Times New Roman"/>
                <w:b/>
                <w:sz w:val="24"/>
                <w:szCs w:val="24"/>
                <w:lang w:eastAsia="en-GB"/>
              </w:rPr>
              <w:t>Site Number</w:t>
            </w:r>
          </w:p>
        </w:tc>
        <w:tc>
          <w:tcPr>
            <w:tcW w:w="2410" w:type="dxa"/>
          </w:tcPr>
          <w:p w14:paraId="1447F48F" w14:textId="77777777" w:rsidR="00B81D0D" w:rsidRPr="00856AF4" w:rsidRDefault="00B81D0D" w:rsidP="007A3AC6">
            <w:pPr>
              <w:jc w:val="center"/>
              <w:rPr>
                <w:rFonts w:eastAsia="Times New Roman" w:cs="Times New Roman"/>
                <w:b/>
                <w:sz w:val="24"/>
                <w:szCs w:val="24"/>
                <w:lang w:eastAsia="en-GB"/>
              </w:rPr>
            </w:pPr>
            <w:r w:rsidRPr="00856AF4">
              <w:rPr>
                <w:rFonts w:eastAsia="Times New Roman" w:cs="Times New Roman"/>
                <w:b/>
                <w:sz w:val="24"/>
                <w:szCs w:val="24"/>
                <w:lang w:eastAsia="en-GB"/>
              </w:rPr>
              <w:t>Location</w:t>
            </w:r>
          </w:p>
        </w:tc>
        <w:tc>
          <w:tcPr>
            <w:tcW w:w="2404" w:type="dxa"/>
          </w:tcPr>
          <w:p w14:paraId="277DD490" w14:textId="77777777" w:rsidR="00B81D0D" w:rsidRPr="00856AF4" w:rsidRDefault="00B81D0D" w:rsidP="007A3AC6">
            <w:pPr>
              <w:jc w:val="center"/>
              <w:rPr>
                <w:rFonts w:eastAsia="Times New Roman" w:cs="Times New Roman"/>
                <w:b/>
                <w:sz w:val="24"/>
                <w:szCs w:val="24"/>
                <w:lang w:eastAsia="en-GB"/>
              </w:rPr>
            </w:pPr>
            <w:r w:rsidRPr="00856AF4">
              <w:rPr>
                <w:rFonts w:eastAsia="Times New Roman" w:cs="Times New Roman"/>
                <w:b/>
                <w:sz w:val="24"/>
                <w:szCs w:val="24"/>
                <w:lang w:eastAsia="en-GB"/>
              </w:rPr>
              <w:t>Area</w:t>
            </w:r>
          </w:p>
        </w:tc>
        <w:tc>
          <w:tcPr>
            <w:tcW w:w="2602" w:type="dxa"/>
          </w:tcPr>
          <w:p w14:paraId="21505E26" w14:textId="2C275402" w:rsidR="00B81D0D" w:rsidRPr="00856AF4" w:rsidRDefault="00B81D0D" w:rsidP="007A3AC6">
            <w:pPr>
              <w:jc w:val="center"/>
              <w:rPr>
                <w:rFonts w:eastAsia="Times New Roman" w:cs="Times New Roman"/>
                <w:b/>
                <w:sz w:val="24"/>
                <w:szCs w:val="24"/>
                <w:lang w:eastAsia="en-GB"/>
              </w:rPr>
            </w:pPr>
            <w:r w:rsidRPr="00856AF4">
              <w:rPr>
                <w:rFonts w:eastAsia="Times New Roman" w:cs="Times New Roman"/>
                <w:b/>
                <w:sz w:val="24"/>
                <w:szCs w:val="24"/>
                <w:lang w:eastAsia="en-GB"/>
              </w:rPr>
              <w:t xml:space="preserve">NP Working Party </w:t>
            </w:r>
            <w:r w:rsidR="00843DD9">
              <w:rPr>
                <w:rFonts w:eastAsia="Times New Roman" w:cs="Times New Roman"/>
                <w:b/>
                <w:sz w:val="24"/>
                <w:szCs w:val="24"/>
                <w:lang w:eastAsia="en-GB"/>
              </w:rPr>
              <w:t>Recommendation</w:t>
            </w:r>
          </w:p>
        </w:tc>
      </w:tr>
      <w:tr w:rsidR="00B81D0D" w:rsidRPr="001622ED" w14:paraId="71EA3922" w14:textId="77777777" w:rsidTr="00F136F8">
        <w:tc>
          <w:tcPr>
            <w:tcW w:w="2246" w:type="dxa"/>
          </w:tcPr>
          <w:p w14:paraId="4CED87B0" w14:textId="77777777" w:rsidR="00B81D0D" w:rsidRPr="00856AF4" w:rsidRDefault="00B81D0D" w:rsidP="007A3AC6">
            <w:pPr>
              <w:jc w:val="center"/>
              <w:rPr>
                <w:rFonts w:eastAsia="Times New Roman" w:cs="Times New Roman"/>
                <w:sz w:val="24"/>
                <w:szCs w:val="24"/>
                <w:lang w:eastAsia="en-GB"/>
              </w:rPr>
            </w:pPr>
          </w:p>
          <w:p w14:paraId="4F7B4839"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SON 1</w:t>
            </w:r>
          </w:p>
        </w:tc>
        <w:tc>
          <w:tcPr>
            <w:tcW w:w="2410" w:type="dxa"/>
          </w:tcPr>
          <w:p w14:paraId="478E9204"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Behind Orchard Avenue and Woodlands Road</w:t>
            </w:r>
          </w:p>
        </w:tc>
        <w:tc>
          <w:tcPr>
            <w:tcW w:w="2404" w:type="dxa"/>
          </w:tcPr>
          <w:p w14:paraId="43847F17"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6.2 ha of Local Green Space within the AONB</w:t>
            </w:r>
          </w:p>
        </w:tc>
        <w:tc>
          <w:tcPr>
            <w:tcW w:w="2602" w:type="dxa"/>
          </w:tcPr>
          <w:p w14:paraId="4D0C74D0"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Not recommended for development</w:t>
            </w:r>
          </w:p>
        </w:tc>
      </w:tr>
      <w:tr w:rsidR="00B81D0D" w:rsidRPr="001622ED" w14:paraId="1ADD63BE" w14:textId="77777777" w:rsidTr="00F136F8">
        <w:tc>
          <w:tcPr>
            <w:tcW w:w="2246" w:type="dxa"/>
          </w:tcPr>
          <w:p w14:paraId="419ECAEE" w14:textId="77777777" w:rsidR="00B81D0D" w:rsidRPr="00856AF4" w:rsidRDefault="00B81D0D" w:rsidP="007A3AC6">
            <w:pPr>
              <w:jc w:val="center"/>
              <w:rPr>
                <w:rFonts w:eastAsia="Times New Roman" w:cs="Times New Roman"/>
                <w:sz w:val="24"/>
                <w:szCs w:val="24"/>
                <w:lang w:eastAsia="en-GB"/>
              </w:rPr>
            </w:pPr>
          </w:p>
          <w:p w14:paraId="03DBF6CA"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SON 12a</w:t>
            </w:r>
          </w:p>
        </w:tc>
        <w:tc>
          <w:tcPr>
            <w:tcW w:w="2410" w:type="dxa"/>
          </w:tcPr>
          <w:p w14:paraId="28974D32"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Off Blackmore Lane and behind Peppard Road houses</w:t>
            </w:r>
          </w:p>
        </w:tc>
        <w:tc>
          <w:tcPr>
            <w:tcW w:w="2404" w:type="dxa"/>
          </w:tcPr>
          <w:p w14:paraId="4F793847"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0.9 ha of agricultural land within the AONB</w:t>
            </w:r>
          </w:p>
        </w:tc>
        <w:tc>
          <w:tcPr>
            <w:tcW w:w="2602" w:type="dxa"/>
          </w:tcPr>
          <w:p w14:paraId="7870CFB6"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Not recommended for development</w:t>
            </w:r>
          </w:p>
        </w:tc>
      </w:tr>
      <w:tr w:rsidR="00B81D0D" w:rsidRPr="001622ED" w14:paraId="39AD8FB7" w14:textId="77777777" w:rsidTr="00F136F8">
        <w:tc>
          <w:tcPr>
            <w:tcW w:w="2246" w:type="dxa"/>
          </w:tcPr>
          <w:p w14:paraId="3A4835C8" w14:textId="77777777" w:rsidR="00B81D0D" w:rsidRPr="00856AF4" w:rsidRDefault="00B81D0D" w:rsidP="007A3AC6">
            <w:pPr>
              <w:jc w:val="center"/>
              <w:rPr>
                <w:rFonts w:eastAsia="Times New Roman" w:cs="Times New Roman"/>
                <w:sz w:val="24"/>
                <w:szCs w:val="24"/>
                <w:lang w:eastAsia="en-GB"/>
              </w:rPr>
            </w:pPr>
          </w:p>
          <w:p w14:paraId="7F44179D"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SON 12b</w:t>
            </w:r>
          </w:p>
        </w:tc>
        <w:tc>
          <w:tcPr>
            <w:tcW w:w="2410" w:type="dxa"/>
          </w:tcPr>
          <w:p w14:paraId="724AD9B1"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Off Blackmore Lane</w:t>
            </w:r>
          </w:p>
          <w:p w14:paraId="3C8E5EA7" w14:textId="77777777" w:rsidR="00B81D0D" w:rsidRPr="00856AF4" w:rsidRDefault="00B81D0D" w:rsidP="007A3AC6">
            <w:pPr>
              <w:jc w:val="center"/>
              <w:rPr>
                <w:rFonts w:eastAsia="Times New Roman" w:cs="Times New Roman"/>
                <w:sz w:val="24"/>
                <w:szCs w:val="24"/>
                <w:lang w:eastAsia="en-GB"/>
              </w:rPr>
            </w:pPr>
          </w:p>
          <w:p w14:paraId="3CD1F02E" w14:textId="77777777" w:rsidR="00B81D0D" w:rsidRPr="00856AF4" w:rsidRDefault="00B81D0D" w:rsidP="007A3AC6">
            <w:pPr>
              <w:jc w:val="center"/>
              <w:rPr>
                <w:rFonts w:eastAsia="Times New Roman" w:cs="Times New Roman"/>
                <w:sz w:val="24"/>
                <w:szCs w:val="24"/>
                <w:lang w:eastAsia="en-GB"/>
              </w:rPr>
            </w:pPr>
          </w:p>
        </w:tc>
        <w:tc>
          <w:tcPr>
            <w:tcW w:w="2404" w:type="dxa"/>
          </w:tcPr>
          <w:p w14:paraId="5CF7E170"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1.3 ha of agricultural land within the AONB</w:t>
            </w:r>
          </w:p>
        </w:tc>
        <w:tc>
          <w:tcPr>
            <w:tcW w:w="2602" w:type="dxa"/>
          </w:tcPr>
          <w:p w14:paraId="2C905F87"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Not recommended for development</w:t>
            </w:r>
          </w:p>
        </w:tc>
      </w:tr>
      <w:tr w:rsidR="00B81D0D" w:rsidRPr="001622ED" w14:paraId="71C86C38" w14:textId="77777777" w:rsidTr="00F136F8">
        <w:tc>
          <w:tcPr>
            <w:tcW w:w="2246" w:type="dxa"/>
          </w:tcPr>
          <w:p w14:paraId="526F38DE" w14:textId="77777777" w:rsidR="00B81D0D" w:rsidRPr="00856AF4" w:rsidRDefault="00B81D0D" w:rsidP="007A3AC6">
            <w:pPr>
              <w:jc w:val="center"/>
              <w:rPr>
                <w:rFonts w:eastAsia="Times New Roman" w:cs="Times New Roman"/>
                <w:sz w:val="24"/>
                <w:szCs w:val="24"/>
                <w:lang w:eastAsia="en-GB"/>
              </w:rPr>
            </w:pPr>
          </w:p>
          <w:p w14:paraId="0FE5913D"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SON 21a</w:t>
            </w:r>
          </w:p>
        </w:tc>
        <w:tc>
          <w:tcPr>
            <w:tcW w:w="2410" w:type="dxa"/>
          </w:tcPr>
          <w:p w14:paraId="75019CE9"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Corner of Blackmore Lane and Peppard Road</w:t>
            </w:r>
          </w:p>
        </w:tc>
        <w:tc>
          <w:tcPr>
            <w:tcW w:w="2404" w:type="dxa"/>
          </w:tcPr>
          <w:p w14:paraId="59ED88FC"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0.7 ha of agricultural land within the AONB</w:t>
            </w:r>
          </w:p>
        </w:tc>
        <w:tc>
          <w:tcPr>
            <w:tcW w:w="2602" w:type="dxa"/>
          </w:tcPr>
          <w:p w14:paraId="08AD0C95"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Not recommended for development</w:t>
            </w:r>
          </w:p>
        </w:tc>
      </w:tr>
      <w:tr w:rsidR="00B81D0D" w:rsidRPr="001622ED" w14:paraId="2DCFBB63" w14:textId="77777777" w:rsidTr="00F136F8">
        <w:tc>
          <w:tcPr>
            <w:tcW w:w="2246" w:type="dxa"/>
          </w:tcPr>
          <w:p w14:paraId="30EC941C" w14:textId="77777777" w:rsidR="00B81D0D" w:rsidRPr="00856AF4" w:rsidRDefault="00B81D0D" w:rsidP="007A3AC6">
            <w:pPr>
              <w:jc w:val="center"/>
              <w:rPr>
                <w:rFonts w:eastAsia="Times New Roman" w:cs="Times New Roman"/>
                <w:sz w:val="24"/>
                <w:szCs w:val="24"/>
                <w:lang w:eastAsia="en-GB"/>
              </w:rPr>
            </w:pPr>
          </w:p>
          <w:p w14:paraId="7EFAC212"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SON 21b</w:t>
            </w:r>
          </w:p>
        </w:tc>
        <w:tc>
          <w:tcPr>
            <w:tcW w:w="2410" w:type="dxa"/>
          </w:tcPr>
          <w:p w14:paraId="74F42CD0"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Peppard Road, opposite Red House Drive</w:t>
            </w:r>
          </w:p>
        </w:tc>
        <w:tc>
          <w:tcPr>
            <w:tcW w:w="2404" w:type="dxa"/>
          </w:tcPr>
          <w:p w14:paraId="56682691"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0.3 ha of unused land adjacent to AONB</w:t>
            </w:r>
          </w:p>
        </w:tc>
        <w:tc>
          <w:tcPr>
            <w:tcW w:w="2602" w:type="dxa"/>
          </w:tcPr>
          <w:p w14:paraId="749C5E04"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Not recommended for development</w:t>
            </w:r>
          </w:p>
        </w:tc>
      </w:tr>
      <w:tr w:rsidR="00B81D0D" w:rsidRPr="001622ED" w14:paraId="0C4B082A" w14:textId="77777777" w:rsidTr="00F136F8">
        <w:tc>
          <w:tcPr>
            <w:tcW w:w="2246" w:type="dxa"/>
          </w:tcPr>
          <w:p w14:paraId="1554893A" w14:textId="77777777" w:rsidR="00B81D0D" w:rsidRPr="00856AF4" w:rsidRDefault="00B81D0D" w:rsidP="007A3AC6">
            <w:pPr>
              <w:jc w:val="center"/>
              <w:rPr>
                <w:rFonts w:eastAsia="Times New Roman" w:cs="Times New Roman"/>
                <w:sz w:val="24"/>
                <w:szCs w:val="24"/>
                <w:lang w:eastAsia="en-GB"/>
              </w:rPr>
            </w:pPr>
          </w:p>
          <w:p w14:paraId="67213BC0"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SON 22</w:t>
            </w:r>
          </w:p>
        </w:tc>
        <w:tc>
          <w:tcPr>
            <w:tcW w:w="2410" w:type="dxa"/>
          </w:tcPr>
          <w:p w14:paraId="00FE321C" w14:textId="77777777" w:rsidR="00B81D0D" w:rsidRPr="00856AF4" w:rsidRDefault="00B81D0D" w:rsidP="007A3AC6">
            <w:pPr>
              <w:jc w:val="center"/>
              <w:rPr>
                <w:rFonts w:eastAsia="Times New Roman" w:cs="Times New Roman"/>
                <w:sz w:val="24"/>
                <w:szCs w:val="24"/>
                <w:lang w:eastAsia="en-GB"/>
              </w:rPr>
            </w:pPr>
            <w:proofErr w:type="spellStart"/>
            <w:r w:rsidRPr="00856AF4">
              <w:rPr>
                <w:rFonts w:eastAsia="Times New Roman" w:cs="Times New Roman"/>
                <w:sz w:val="24"/>
                <w:szCs w:val="24"/>
                <w:lang w:eastAsia="en-GB"/>
              </w:rPr>
              <w:t>Blounts</w:t>
            </w:r>
            <w:proofErr w:type="spellEnd"/>
            <w:r w:rsidRPr="00856AF4">
              <w:rPr>
                <w:rFonts w:eastAsia="Times New Roman" w:cs="Times New Roman"/>
                <w:sz w:val="24"/>
                <w:szCs w:val="24"/>
                <w:lang w:eastAsia="en-GB"/>
              </w:rPr>
              <w:t xml:space="preserve"> Court Road, opposite </w:t>
            </w:r>
            <w:proofErr w:type="spellStart"/>
            <w:r w:rsidRPr="00856AF4">
              <w:rPr>
                <w:rFonts w:eastAsia="Times New Roman" w:cs="Times New Roman"/>
                <w:sz w:val="24"/>
                <w:szCs w:val="24"/>
                <w:lang w:eastAsia="en-GB"/>
              </w:rPr>
              <w:t>Blounts</w:t>
            </w:r>
            <w:proofErr w:type="spellEnd"/>
            <w:r w:rsidRPr="00856AF4">
              <w:rPr>
                <w:rFonts w:eastAsia="Times New Roman" w:cs="Times New Roman"/>
                <w:sz w:val="24"/>
                <w:szCs w:val="24"/>
                <w:lang w:eastAsia="en-GB"/>
              </w:rPr>
              <w:t xml:space="preserve"> Farm </w:t>
            </w:r>
          </w:p>
        </w:tc>
        <w:tc>
          <w:tcPr>
            <w:tcW w:w="2404" w:type="dxa"/>
          </w:tcPr>
          <w:p w14:paraId="32D50B3A"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0.9 ha of agricultural land within the AONB</w:t>
            </w:r>
          </w:p>
        </w:tc>
        <w:tc>
          <w:tcPr>
            <w:tcW w:w="2602" w:type="dxa"/>
          </w:tcPr>
          <w:p w14:paraId="321C8C9C"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Not recommended for development</w:t>
            </w:r>
          </w:p>
        </w:tc>
      </w:tr>
      <w:tr w:rsidR="00B81D0D" w:rsidRPr="001622ED" w14:paraId="23D5C55C" w14:textId="77777777" w:rsidTr="00F136F8">
        <w:tc>
          <w:tcPr>
            <w:tcW w:w="2246" w:type="dxa"/>
          </w:tcPr>
          <w:p w14:paraId="3584FA07" w14:textId="77777777" w:rsidR="00B81D0D" w:rsidRPr="00856AF4" w:rsidRDefault="00B81D0D" w:rsidP="007A3AC6">
            <w:pPr>
              <w:jc w:val="center"/>
              <w:rPr>
                <w:rFonts w:eastAsia="Times New Roman" w:cs="Times New Roman"/>
                <w:sz w:val="24"/>
                <w:szCs w:val="24"/>
                <w:lang w:eastAsia="en-GB"/>
              </w:rPr>
            </w:pPr>
          </w:p>
          <w:p w14:paraId="4978BAAB"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SON 23</w:t>
            </w:r>
          </w:p>
        </w:tc>
        <w:tc>
          <w:tcPr>
            <w:tcW w:w="2410" w:type="dxa"/>
          </w:tcPr>
          <w:p w14:paraId="379E054B"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Widmore Lane, currently Johnson Matthey car park</w:t>
            </w:r>
          </w:p>
        </w:tc>
        <w:tc>
          <w:tcPr>
            <w:tcW w:w="2404" w:type="dxa"/>
          </w:tcPr>
          <w:p w14:paraId="443DD98D"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0.7 ha of hard surface land, within AONB but used as car park for decades</w:t>
            </w:r>
          </w:p>
        </w:tc>
        <w:tc>
          <w:tcPr>
            <w:tcW w:w="2602" w:type="dxa"/>
          </w:tcPr>
          <w:p w14:paraId="13CFBEC2"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Recommended for 2 and 3 bedroom housing development</w:t>
            </w:r>
          </w:p>
        </w:tc>
      </w:tr>
      <w:tr w:rsidR="00B81D0D" w:rsidRPr="001622ED" w14:paraId="73500CF2" w14:textId="77777777" w:rsidTr="00F136F8">
        <w:tc>
          <w:tcPr>
            <w:tcW w:w="2246" w:type="dxa"/>
          </w:tcPr>
          <w:p w14:paraId="5B012CB1" w14:textId="77777777" w:rsidR="00B81D0D" w:rsidRPr="00856AF4" w:rsidRDefault="00B81D0D" w:rsidP="007A3AC6">
            <w:pPr>
              <w:jc w:val="center"/>
              <w:rPr>
                <w:rFonts w:eastAsia="Times New Roman" w:cs="Times New Roman"/>
                <w:sz w:val="24"/>
                <w:szCs w:val="24"/>
                <w:lang w:eastAsia="en-GB"/>
              </w:rPr>
            </w:pPr>
          </w:p>
          <w:p w14:paraId="571C6D13"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SON 24</w:t>
            </w:r>
          </w:p>
        </w:tc>
        <w:tc>
          <w:tcPr>
            <w:tcW w:w="2410" w:type="dxa"/>
          </w:tcPr>
          <w:p w14:paraId="78914585" w14:textId="77777777" w:rsidR="00B81D0D" w:rsidRPr="00856AF4" w:rsidRDefault="00B81D0D" w:rsidP="007A3AC6">
            <w:pPr>
              <w:jc w:val="center"/>
              <w:rPr>
                <w:rFonts w:eastAsia="Times New Roman" w:cs="Times New Roman"/>
                <w:sz w:val="24"/>
                <w:szCs w:val="24"/>
                <w:lang w:eastAsia="en-GB"/>
              </w:rPr>
            </w:pPr>
            <w:proofErr w:type="spellStart"/>
            <w:r w:rsidRPr="00856AF4">
              <w:rPr>
                <w:rFonts w:eastAsia="Times New Roman" w:cs="Times New Roman"/>
                <w:sz w:val="24"/>
                <w:szCs w:val="24"/>
                <w:lang w:eastAsia="en-GB"/>
              </w:rPr>
              <w:t>Blounts</w:t>
            </w:r>
            <w:proofErr w:type="spellEnd"/>
            <w:r w:rsidRPr="00856AF4">
              <w:rPr>
                <w:rFonts w:eastAsia="Times New Roman" w:cs="Times New Roman"/>
                <w:sz w:val="24"/>
                <w:szCs w:val="24"/>
                <w:lang w:eastAsia="en-GB"/>
              </w:rPr>
              <w:t xml:space="preserve"> Court Road and Widmore Lane</w:t>
            </w:r>
          </w:p>
          <w:p w14:paraId="7824F46D" w14:textId="77777777" w:rsidR="00B81D0D" w:rsidRPr="00856AF4" w:rsidRDefault="00B81D0D" w:rsidP="007A3AC6">
            <w:pPr>
              <w:jc w:val="center"/>
              <w:rPr>
                <w:rFonts w:eastAsia="Times New Roman" w:cs="Times New Roman"/>
                <w:sz w:val="24"/>
                <w:szCs w:val="24"/>
                <w:lang w:eastAsia="en-GB"/>
              </w:rPr>
            </w:pPr>
          </w:p>
        </w:tc>
        <w:tc>
          <w:tcPr>
            <w:tcW w:w="2404" w:type="dxa"/>
          </w:tcPr>
          <w:p w14:paraId="3CC1F634"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3.4 ha of agricultural land within the AONB</w:t>
            </w:r>
          </w:p>
        </w:tc>
        <w:tc>
          <w:tcPr>
            <w:tcW w:w="2602" w:type="dxa"/>
          </w:tcPr>
          <w:p w14:paraId="780F056D"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Not recommended for development</w:t>
            </w:r>
          </w:p>
        </w:tc>
      </w:tr>
      <w:tr w:rsidR="00B81D0D" w:rsidRPr="001622ED" w14:paraId="23EA0566" w14:textId="77777777" w:rsidTr="00F136F8">
        <w:tc>
          <w:tcPr>
            <w:tcW w:w="2246" w:type="dxa"/>
          </w:tcPr>
          <w:p w14:paraId="610DA4E9" w14:textId="77777777" w:rsidR="00B81D0D" w:rsidRPr="00856AF4" w:rsidRDefault="00B81D0D" w:rsidP="007A3AC6">
            <w:pPr>
              <w:jc w:val="center"/>
              <w:rPr>
                <w:rFonts w:eastAsia="Times New Roman" w:cs="Times New Roman"/>
                <w:sz w:val="24"/>
                <w:szCs w:val="24"/>
                <w:lang w:eastAsia="en-GB"/>
              </w:rPr>
            </w:pPr>
          </w:p>
          <w:p w14:paraId="637C685E"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SON 26</w:t>
            </w:r>
          </w:p>
          <w:p w14:paraId="36BCC34D" w14:textId="77777777" w:rsidR="00B81D0D" w:rsidRPr="00856AF4" w:rsidRDefault="00B81D0D" w:rsidP="007A3AC6">
            <w:pPr>
              <w:jc w:val="center"/>
              <w:rPr>
                <w:rFonts w:eastAsia="Times New Roman" w:cs="Times New Roman"/>
                <w:sz w:val="24"/>
                <w:szCs w:val="24"/>
                <w:lang w:eastAsia="en-GB"/>
              </w:rPr>
            </w:pPr>
          </w:p>
        </w:tc>
        <w:tc>
          <w:tcPr>
            <w:tcW w:w="2410" w:type="dxa"/>
          </w:tcPr>
          <w:p w14:paraId="029D430F" w14:textId="77777777" w:rsidR="00B81D0D" w:rsidRPr="00856AF4" w:rsidRDefault="00B81D0D" w:rsidP="007A3AC6">
            <w:pPr>
              <w:jc w:val="center"/>
              <w:rPr>
                <w:rFonts w:eastAsia="Times New Roman" w:cs="Times New Roman"/>
                <w:sz w:val="24"/>
                <w:szCs w:val="24"/>
                <w:lang w:eastAsia="en-GB"/>
              </w:rPr>
            </w:pPr>
            <w:proofErr w:type="spellStart"/>
            <w:r w:rsidRPr="00856AF4">
              <w:rPr>
                <w:rFonts w:eastAsia="Times New Roman" w:cs="Times New Roman"/>
                <w:sz w:val="24"/>
                <w:szCs w:val="24"/>
                <w:lang w:eastAsia="en-GB"/>
              </w:rPr>
              <w:t>Kennylands</w:t>
            </w:r>
            <w:proofErr w:type="spellEnd"/>
            <w:r w:rsidRPr="00856AF4">
              <w:rPr>
                <w:rFonts w:eastAsia="Times New Roman" w:cs="Times New Roman"/>
                <w:sz w:val="24"/>
                <w:szCs w:val="24"/>
                <w:lang w:eastAsia="en-GB"/>
              </w:rPr>
              <w:t xml:space="preserve"> Road, opposite </w:t>
            </w:r>
            <w:proofErr w:type="spellStart"/>
            <w:r w:rsidRPr="00856AF4">
              <w:rPr>
                <w:rFonts w:eastAsia="Times New Roman" w:cs="Times New Roman"/>
                <w:sz w:val="24"/>
                <w:szCs w:val="24"/>
                <w:lang w:eastAsia="en-GB"/>
              </w:rPr>
              <w:t>Hagpits</w:t>
            </w:r>
            <w:proofErr w:type="spellEnd"/>
            <w:r w:rsidRPr="00856AF4">
              <w:rPr>
                <w:rFonts w:eastAsia="Times New Roman" w:cs="Times New Roman"/>
                <w:sz w:val="24"/>
                <w:szCs w:val="24"/>
                <w:lang w:eastAsia="en-GB"/>
              </w:rPr>
              <w:t xml:space="preserve"> House</w:t>
            </w:r>
          </w:p>
          <w:p w14:paraId="66224102" w14:textId="77777777" w:rsidR="00B81D0D" w:rsidRPr="00856AF4" w:rsidRDefault="00B81D0D" w:rsidP="007A3AC6">
            <w:pPr>
              <w:jc w:val="center"/>
              <w:rPr>
                <w:rFonts w:eastAsia="Times New Roman" w:cs="Times New Roman"/>
                <w:sz w:val="24"/>
                <w:szCs w:val="24"/>
                <w:lang w:eastAsia="en-GB"/>
              </w:rPr>
            </w:pPr>
          </w:p>
        </w:tc>
        <w:tc>
          <w:tcPr>
            <w:tcW w:w="2404" w:type="dxa"/>
          </w:tcPr>
          <w:p w14:paraId="4B24CA29"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6.7 ha of agricultural land, not in AONB but within setting of AONB</w:t>
            </w:r>
          </w:p>
        </w:tc>
        <w:tc>
          <w:tcPr>
            <w:tcW w:w="2602" w:type="dxa"/>
          </w:tcPr>
          <w:p w14:paraId="4083E498" w14:textId="77777777" w:rsidR="00843DD9"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 xml:space="preserve">Development restricted to 26 homes within </w:t>
            </w:r>
          </w:p>
          <w:p w14:paraId="5D6C6EF8" w14:textId="7BCE9DAD"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SON 6, already included in existing NP</w:t>
            </w:r>
          </w:p>
        </w:tc>
      </w:tr>
      <w:tr w:rsidR="00B81D0D" w:rsidRPr="00856AF4" w14:paraId="1CDA045C" w14:textId="77777777" w:rsidTr="00F136F8">
        <w:tc>
          <w:tcPr>
            <w:tcW w:w="2246" w:type="dxa"/>
          </w:tcPr>
          <w:p w14:paraId="63DDE3B5" w14:textId="77777777" w:rsidR="00B81D0D" w:rsidRPr="00856AF4" w:rsidRDefault="00B81D0D" w:rsidP="007A3AC6">
            <w:pPr>
              <w:jc w:val="center"/>
              <w:rPr>
                <w:rFonts w:eastAsia="Times New Roman" w:cs="Times New Roman"/>
                <w:sz w:val="24"/>
                <w:szCs w:val="24"/>
                <w:lang w:eastAsia="en-GB"/>
              </w:rPr>
            </w:pPr>
          </w:p>
          <w:p w14:paraId="527585CC"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SON 27</w:t>
            </w:r>
          </w:p>
        </w:tc>
        <w:tc>
          <w:tcPr>
            <w:tcW w:w="2410" w:type="dxa"/>
          </w:tcPr>
          <w:p w14:paraId="019AC44C" w14:textId="3A0A3203"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Alpen</w:t>
            </w:r>
            <w:r w:rsidR="00843DD9">
              <w:rPr>
                <w:rFonts w:eastAsia="Times New Roman" w:cs="Times New Roman"/>
                <w:sz w:val="24"/>
                <w:szCs w:val="24"/>
                <w:lang w:eastAsia="en-GB"/>
              </w:rPr>
              <w:t xml:space="preserve"> R</w:t>
            </w:r>
            <w:r w:rsidRPr="00856AF4">
              <w:rPr>
                <w:rFonts w:eastAsia="Times New Roman" w:cs="Times New Roman"/>
                <w:sz w:val="24"/>
                <w:szCs w:val="24"/>
                <w:lang w:eastAsia="en-GB"/>
              </w:rPr>
              <w:t xml:space="preserve">ose, </w:t>
            </w:r>
            <w:proofErr w:type="spellStart"/>
            <w:r w:rsidRPr="00856AF4">
              <w:rPr>
                <w:rFonts w:eastAsia="Times New Roman" w:cs="Times New Roman"/>
                <w:sz w:val="24"/>
                <w:szCs w:val="24"/>
                <w:lang w:eastAsia="en-GB"/>
              </w:rPr>
              <w:t>Kennylands</w:t>
            </w:r>
            <w:proofErr w:type="spellEnd"/>
            <w:r w:rsidRPr="00856AF4">
              <w:rPr>
                <w:rFonts w:eastAsia="Times New Roman" w:cs="Times New Roman"/>
                <w:sz w:val="24"/>
                <w:szCs w:val="24"/>
                <w:lang w:eastAsia="en-GB"/>
              </w:rPr>
              <w:t xml:space="preserve"> Road</w:t>
            </w:r>
          </w:p>
          <w:p w14:paraId="29693B47" w14:textId="77777777" w:rsidR="00B81D0D" w:rsidRPr="00856AF4" w:rsidRDefault="00B81D0D" w:rsidP="007A3AC6">
            <w:pPr>
              <w:jc w:val="center"/>
              <w:rPr>
                <w:rFonts w:eastAsia="Times New Roman" w:cs="Times New Roman"/>
                <w:sz w:val="24"/>
                <w:szCs w:val="24"/>
                <w:lang w:eastAsia="en-GB"/>
              </w:rPr>
            </w:pPr>
          </w:p>
        </w:tc>
        <w:tc>
          <w:tcPr>
            <w:tcW w:w="2404" w:type="dxa"/>
          </w:tcPr>
          <w:p w14:paraId="4513D7F4"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 xml:space="preserve">0.6 ha of house, garden and orchard, within setting of AONB </w:t>
            </w:r>
          </w:p>
        </w:tc>
        <w:tc>
          <w:tcPr>
            <w:tcW w:w="2602" w:type="dxa"/>
          </w:tcPr>
          <w:p w14:paraId="255083B9"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Not recommended for development</w:t>
            </w:r>
          </w:p>
        </w:tc>
      </w:tr>
      <w:tr w:rsidR="00B81D0D" w:rsidRPr="00856AF4" w14:paraId="46A06006" w14:textId="77777777" w:rsidTr="00F136F8">
        <w:tc>
          <w:tcPr>
            <w:tcW w:w="2246" w:type="dxa"/>
          </w:tcPr>
          <w:p w14:paraId="72E60114" w14:textId="77777777" w:rsidR="00B81D0D" w:rsidRPr="00856AF4" w:rsidRDefault="00B81D0D" w:rsidP="007A3AC6">
            <w:pPr>
              <w:jc w:val="center"/>
              <w:rPr>
                <w:rFonts w:eastAsia="Times New Roman" w:cs="Times New Roman"/>
                <w:sz w:val="24"/>
                <w:szCs w:val="24"/>
                <w:lang w:eastAsia="en-GB"/>
              </w:rPr>
            </w:pPr>
          </w:p>
          <w:p w14:paraId="7CC45D4A"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SON 29</w:t>
            </w:r>
          </w:p>
        </w:tc>
        <w:tc>
          <w:tcPr>
            <w:tcW w:w="2410" w:type="dxa"/>
          </w:tcPr>
          <w:p w14:paraId="143BD7FF"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 xml:space="preserve">Reddish Manor, Peppard Road, opposite </w:t>
            </w:r>
            <w:proofErr w:type="spellStart"/>
            <w:r w:rsidRPr="00856AF4">
              <w:rPr>
                <w:rFonts w:eastAsia="Times New Roman" w:cs="Times New Roman"/>
                <w:sz w:val="24"/>
                <w:szCs w:val="24"/>
                <w:lang w:eastAsia="en-GB"/>
              </w:rPr>
              <w:t>Westleigh</w:t>
            </w:r>
            <w:proofErr w:type="spellEnd"/>
            <w:r w:rsidRPr="00856AF4">
              <w:rPr>
                <w:rFonts w:eastAsia="Times New Roman" w:cs="Times New Roman"/>
                <w:sz w:val="24"/>
                <w:szCs w:val="24"/>
                <w:lang w:eastAsia="en-GB"/>
              </w:rPr>
              <w:t xml:space="preserve"> Drive</w:t>
            </w:r>
          </w:p>
        </w:tc>
        <w:tc>
          <w:tcPr>
            <w:tcW w:w="2404" w:type="dxa"/>
          </w:tcPr>
          <w:p w14:paraId="56DA0BB5"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1.5 ha of garden and orchard, part within the AONB</w:t>
            </w:r>
          </w:p>
        </w:tc>
        <w:tc>
          <w:tcPr>
            <w:tcW w:w="2602" w:type="dxa"/>
          </w:tcPr>
          <w:p w14:paraId="05FFEFD5" w14:textId="77777777" w:rsidR="00B81D0D" w:rsidRPr="00856AF4" w:rsidRDefault="00B81D0D" w:rsidP="007A3AC6">
            <w:pPr>
              <w:jc w:val="center"/>
              <w:rPr>
                <w:rFonts w:eastAsia="Times New Roman" w:cs="Times New Roman"/>
                <w:sz w:val="24"/>
                <w:szCs w:val="24"/>
                <w:lang w:eastAsia="en-GB"/>
              </w:rPr>
            </w:pPr>
            <w:r w:rsidRPr="00856AF4">
              <w:rPr>
                <w:rFonts w:eastAsia="Times New Roman" w:cs="Times New Roman"/>
                <w:sz w:val="24"/>
                <w:szCs w:val="24"/>
                <w:lang w:eastAsia="en-GB"/>
              </w:rPr>
              <w:t>Not recommended for development</w:t>
            </w:r>
          </w:p>
        </w:tc>
      </w:tr>
    </w:tbl>
    <w:p w14:paraId="11908F03" w14:textId="77777777" w:rsidR="003E16DC" w:rsidRDefault="00145252" w:rsidP="00D74B20">
      <w:pPr>
        <w:spacing w:before="100" w:beforeAutospacing="1" w:after="100" w:afterAutospacing="1" w:line="240" w:lineRule="auto"/>
      </w:pPr>
      <w:r w:rsidRPr="00145252">
        <w:rPr>
          <w:rFonts w:eastAsia="Times New Roman" w:cs="Arial"/>
          <w:sz w:val="24"/>
          <w:szCs w:val="24"/>
          <w:lang w:eastAsia="en-GB"/>
        </w:rPr>
        <w:t xml:space="preserve">The above recommendations are being made by the Sonning Common Neighbourhood Plan Working Party. They follow extensive research and analysis work on each of the sites. Research materials informing these recommendations are available on the Neighbourhood Plan website: </w:t>
      </w:r>
      <w:r w:rsidRPr="00145252">
        <w:rPr>
          <w:rFonts w:eastAsia="Times New Roman" w:cs="Arial"/>
          <w:color w:val="0000FF"/>
          <w:sz w:val="24"/>
          <w:szCs w:val="24"/>
          <w:u w:val="single"/>
          <w:lang w:eastAsia="en-GB"/>
        </w:rPr>
        <w:t>www.scpc-ndp.co.uk</w:t>
      </w:r>
    </w:p>
    <w:sectPr w:rsidR="003E16DC" w:rsidSect="005A5785">
      <w:pgSz w:w="11907" w:h="16839" w:code="9"/>
      <w:pgMar w:top="1021" w:right="1440" w:bottom="144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72"/>
    <w:rsid w:val="000B0B78"/>
    <w:rsid w:val="00145252"/>
    <w:rsid w:val="002E5097"/>
    <w:rsid w:val="003D0563"/>
    <w:rsid w:val="00422372"/>
    <w:rsid w:val="005349F6"/>
    <w:rsid w:val="005A5785"/>
    <w:rsid w:val="005F0E7A"/>
    <w:rsid w:val="0063323C"/>
    <w:rsid w:val="00843DD9"/>
    <w:rsid w:val="00856AF4"/>
    <w:rsid w:val="009248CE"/>
    <w:rsid w:val="00A735F4"/>
    <w:rsid w:val="00B81D0D"/>
    <w:rsid w:val="00C26026"/>
    <w:rsid w:val="00C35B70"/>
    <w:rsid w:val="00D74B20"/>
    <w:rsid w:val="00DF150E"/>
    <w:rsid w:val="00F136F8"/>
    <w:rsid w:val="00F55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FC9F"/>
  <w15:docId w15:val="{23D85B46-3FBD-4B4C-ABF1-A51680A7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79991">
      <w:bodyDiv w:val="1"/>
      <w:marLeft w:val="0"/>
      <w:marRight w:val="0"/>
      <w:marTop w:val="0"/>
      <w:marBottom w:val="0"/>
      <w:divBdr>
        <w:top w:val="none" w:sz="0" w:space="0" w:color="auto"/>
        <w:left w:val="none" w:sz="0" w:space="0" w:color="auto"/>
        <w:bottom w:val="none" w:sz="0" w:space="0" w:color="auto"/>
        <w:right w:val="none" w:sz="0" w:space="0" w:color="auto"/>
      </w:divBdr>
    </w:div>
    <w:div w:id="17719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dc:creator>
  <cp:keywords/>
  <dc:description/>
  <cp:lastModifiedBy>Ros Varnes</cp:lastModifiedBy>
  <cp:revision>2</cp:revision>
  <dcterms:created xsi:type="dcterms:W3CDTF">2020-02-25T13:51:00Z</dcterms:created>
  <dcterms:modified xsi:type="dcterms:W3CDTF">2020-02-25T13:51:00Z</dcterms:modified>
</cp:coreProperties>
</file>